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59B" w:rsidRPr="00B2259B" w:rsidRDefault="00B2259B" w:rsidP="00B2259B">
      <w:pPr>
        <w:spacing w:after="120" w:line="276" w:lineRule="auto"/>
        <w:jc w:val="both"/>
        <w:rPr>
          <w:rFonts w:asciiTheme="minorHAnsi" w:hAnsiTheme="minorHAnsi"/>
        </w:rPr>
      </w:pPr>
    </w:p>
    <w:p w:rsidR="00B2259B" w:rsidRPr="00B2259B" w:rsidRDefault="00B2259B" w:rsidP="00B2259B">
      <w:pPr>
        <w:spacing w:after="120" w:line="276" w:lineRule="auto"/>
        <w:jc w:val="center"/>
        <w:rPr>
          <w:rFonts w:asciiTheme="minorHAnsi" w:hAnsiTheme="minorHAnsi"/>
          <w:b/>
          <w:u w:val="single"/>
        </w:rPr>
      </w:pPr>
      <w:r w:rsidRPr="00B2259B">
        <w:rPr>
          <w:rFonts w:asciiTheme="minorHAnsi" w:hAnsiTheme="minorHAnsi"/>
          <w:b/>
          <w:u w:val="single"/>
        </w:rPr>
        <w:t>Comunicado sobre situación política actual en la Republica de Nicaragua</w:t>
      </w:r>
    </w:p>
    <w:p w:rsidR="00B2259B" w:rsidRPr="00B2259B" w:rsidRDefault="00B2259B" w:rsidP="00B2259B">
      <w:pPr>
        <w:spacing w:after="120" w:line="276" w:lineRule="auto"/>
        <w:jc w:val="both"/>
        <w:rPr>
          <w:rFonts w:asciiTheme="minorHAnsi" w:hAnsiTheme="minorHAnsi"/>
        </w:rPr>
      </w:pPr>
      <w:r w:rsidRPr="00B2259B">
        <w:rPr>
          <w:rFonts w:asciiTheme="minorHAnsi" w:hAnsiTheme="minorHAnsi"/>
        </w:rPr>
        <w:t>El pasado 29 de julio, el Consejo Supremo Electoral de Nicaragua destituyó a 28 diputados (16 titulares y 12 suplentes) de la Asamblea Nacional, quienes fueron el</w:t>
      </w:r>
      <w:r w:rsidR="002604B9">
        <w:rPr>
          <w:rFonts w:asciiTheme="minorHAnsi" w:hAnsiTheme="minorHAnsi"/>
        </w:rPr>
        <w:t>egidos</w:t>
      </w:r>
      <w:r w:rsidRPr="00B2259B">
        <w:rPr>
          <w:rFonts w:asciiTheme="minorHAnsi" w:hAnsiTheme="minorHAnsi"/>
        </w:rPr>
        <w:t xml:space="preserve"> por voto popular en el año 2011 como militantes del Partido Liberal Independiente (PLI).</w:t>
      </w:r>
    </w:p>
    <w:p w:rsidR="00B2259B" w:rsidRPr="00B2259B" w:rsidRDefault="00B2259B" w:rsidP="00B2259B">
      <w:pPr>
        <w:pStyle w:val="Sinespaciado"/>
        <w:spacing w:after="120" w:line="276" w:lineRule="auto"/>
        <w:jc w:val="both"/>
        <w:rPr>
          <w:rFonts w:asciiTheme="minorHAnsi" w:hAnsiTheme="minorHAnsi"/>
          <w:sz w:val="24"/>
          <w:szCs w:val="24"/>
        </w:rPr>
      </w:pPr>
      <w:r w:rsidRPr="00570E80">
        <w:rPr>
          <w:rFonts w:asciiTheme="minorHAnsi" w:hAnsiTheme="minorHAnsi"/>
          <w:sz w:val="24"/>
          <w:szCs w:val="24"/>
        </w:rPr>
        <w:t>Esta decisión fue tomada como consecuencia de la petición interpuesta por el actual representante legal del PLI, Pedro Reyes Vallejos, ante el Consejo Supremo Electoral, alega</w:t>
      </w:r>
      <w:r w:rsidR="008E36FE" w:rsidRPr="00130FEE">
        <w:rPr>
          <w:rFonts w:asciiTheme="minorHAnsi" w:hAnsiTheme="minorHAnsi"/>
          <w:sz w:val="24"/>
          <w:szCs w:val="24"/>
        </w:rPr>
        <w:t>n</w:t>
      </w:r>
      <w:r w:rsidRPr="00570E80">
        <w:rPr>
          <w:rFonts w:asciiTheme="minorHAnsi" w:hAnsiTheme="minorHAnsi"/>
          <w:sz w:val="24"/>
          <w:szCs w:val="24"/>
        </w:rPr>
        <w:t>do que los diputados</w:t>
      </w:r>
      <w:r w:rsidR="00455ACB" w:rsidRPr="00455ACB">
        <w:rPr>
          <w:rFonts w:asciiTheme="minorHAnsi" w:hAnsiTheme="minorHAnsi"/>
          <w:sz w:val="24"/>
          <w:szCs w:val="24"/>
        </w:rPr>
        <w:t>,</w:t>
      </w:r>
      <w:r w:rsidRPr="00570E80">
        <w:rPr>
          <w:rFonts w:asciiTheme="minorHAnsi" w:hAnsiTheme="minorHAnsi"/>
          <w:sz w:val="24"/>
          <w:szCs w:val="24"/>
        </w:rPr>
        <w:t xml:space="preserve"> ahora destituidos</w:t>
      </w:r>
      <w:r w:rsidR="00455ACB" w:rsidRPr="00455ACB">
        <w:rPr>
          <w:rFonts w:asciiTheme="minorHAnsi" w:hAnsiTheme="minorHAnsi"/>
          <w:sz w:val="24"/>
          <w:szCs w:val="24"/>
        </w:rPr>
        <w:t>,</w:t>
      </w:r>
      <w:r w:rsidRPr="00570E80">
        <w:rPr>
          <w:rFonts w:asciiTheme="minorHAnsi" w:hAnsiTheme="minorHAnsi"/>
          <w:sz w:val="24"/>
          <w:szCs w:val="24"/>
        </w:rPr>
        <w:t xml:space="preserve"> no obedecían ni respetaban los estatutos del partido y que habían anunciado públicamente que formarían otro movimiento político. En el documento firmado por Reyes Vallejos, se les acusó de desconocer la sentencia </w:t>
      </w:r>
      <w:r w:rsidRPr="00BB0C20">
        <w:rPr>
          <w:rFonts w:asciiTheme="minorHAnsi" w:hAnsiTheme="minorHAnsi"/>
          <w:sz w:val="24"/>
          <w:szCs w:val="24"/>
        </w:rPr>
        <w:t>dictada por la Sala Constitucional de la Corte Suprema de Justicia de fecha 8 de junio, a través de la cual el órgano destituyó a las autoridades del PLI nombradas en el 2011, para otorgar la representación legal al señor Pedro Reyes.</w:t>
      </w:r>
      <w:bookmarkStart w:id="0" w:name="_GoBack"/>
      <w:bookmarkEnd w:id="0"/>
    </w:p>
    <w:p w:rsidR="00B2259B" w:rsidRPr="00B2259B" w:rsidRDefault="00B2259B" w:rsidP="00B2259B">
      <w:pPr>
        <w:pStyle w:val="Sinespaciado"/>
        <w:spacing w:after="120" w:line="276" w:lineRule="auto"/>
        <w:jc w:val="both"/>
        <w:rPr>
          <w:rFonts w:asciiTheme="minorHAnsi" w:hAnsiTheme="minorHAnsi"/>
          <w:sz w:val="24"/>
          <w:szCs w:val="24"/>
        </w:rPr>
      </w:pPr>
      <w:r w:rsidRPr="00B2259B">
        <w:rPr>
          <w:rFonts w:asciiTheme="minorHAnsi" w:hAnsiTheme="minorHAnsi"/>
          <w:sz w:val="24"/>
          <w:szCs w:val="24"/>
        </w:rPr>
        <w:t xml:space="preserve">El Consejo Supremo Electoral en su decisión argumenta </w:t>
      </w:r>
      <w:r w:rsidR="008E36FE">
        <w:rPr>
          <w:rFonts w:asciiTheme="minorHAnsi" w:hAnsiTheme="minorHAnsi"/>
          <w:sz w:val="24"/>
          <w:szCs w:val="24"/>
        </w:rPr>
        <w:t xml:space="preserve">que, </w:t>
      </w:r>
      <w:r w:rsidRPr="00B2259B">
        <w:rPr>
          <w:rFonts w:asciiTheme="minorHAnsi" w:hAnsiTheme="minorHAnsi"/>
          <w:sz w:val="24"/>
          <w:szCs w:val="24"/>
        </w:rPr>
        <w:t>reformas recientes a la Constitución Política y a la Ley Orgánica del Poder Legislativo, establecen el</w:t>
      </w:r>
      <w:r w:rsidR="00205743">
        <w:rPr>
          <w:rFonts w:asciiTheme="minorHAnsi" w:hAnsiTheme="minorHAnsi"/>
          <w:sz w:val="24"/>
          <w:szCs w:val="24"/>
        </w:rPr>
        <w:t xml:space="preserve"> </w:t>
      </w:r>
      <w:r w:rsidRPr="00B2259B">
        <w:rPr>
          <w:rFonts w:asciiTheme="minorHAnsi" w:hAnsiTheme="minorHAnsi"/>
          <w:sz w:val="24"/>
          <w:szCs w:val="24"/>
        </w:rPr>
        <w:t>“transfuguismo político” como causal para la pérdida de la banca de diputado o diputada.</w:t>
      </w:r>
    </w:p>
    <w:p w:rsidR="00B2259B" w:rsidRPr="00B2259B" w:rsidRDefault="00B2259B" w:rsidP="00B2259B">
      <w:pPr>
        <w:pStyle w:val="Sinespaciado"/>
        <w:spacing w:after="120" w:line="276" w:lineRule="auto"/>
        <w:jc w:val="both"/>
        <w:rPr>
          <w:rFonts w:asciiTheme="minorHAnsi" w:hAnsiTheme="minorHAnsi"/>
          <w:sz w:val="24"/>
          <w:szCs w:val="24"/>
        </w:rPr>
      </w:pPr>
      <w:r w:rsidRPr="00B2259B">
        <w:rPr>
          <w:rFonts w:asciiTheme="minorHAnsi" w:hAnsiTheme="minorHAnsi"/>
          <w:sz w:val="24"/>
          <w:szCs w:val="24"/>
        </w:rPr>
        <w:t>Resulta preocupante que la aplicación de reformas constitucionales genere distorsiones a la democracia representativa que afectan los derechos políticos de las personas que se postulan a cargos de elección popular.</w:t>
      </w:r>
    </w:p>
    <w:p w:rsidR="00B2259B" w:rsidRPr="00B2259B" w:rsidRDefault="00B2259B" w:rsidP="00B2259B">
      <w:pPr>
        <w:pStyle w:val="Sinespaciado"/>
        <w:spacing w:after="120" w:line="276" w:lineRule="auto"/>
        <w:jc w:val="both"/>
        <w:rPr>
          <w:rFonts w:asciiTheme="minorHAnsi" w:hAnsiTheme="minorHAnsi"/>
          <w:sz w:val="24"/>
          <w:szCs w:val="24"/>
        </w:rPr>
      </w:pPr>
      <w:r w:rsidRPr="00B2259B">
        <w:rPr>
          <w:rFonts w:asciiTheme="minorHAnsi" w:hAnsiTheme="minorHAnsi"/>
          <w:sz w:val="24"/>
          <w:szCs w:val="24"/>
        </w:rPr>
        <w:t xml:space="preserve">Constituye un hecho de suma gravedad que la destitución de los 28 diputados/as se haya dado tan solo tres días después de que fuera solicitada y sin mediar </w:t>
      </w:r>
      <w:r w:rsidR="008E36FE">
        <w:rPr>
          <w:rFonts w:asciiTheme="minorHAnsi" w:hAnsiTheme="minorHAnsi"/>
          <w:sz w:val="24"/>
          <w:szCs w:val="24"/>
        </w:rPr>
        <w:t>el</w:t>
      </w:r>
      <w:r w:rsidRPr="00B2259B">
        <w:rPr>
          <w:rFonts w:asciiTheme="minorHAnsi" w:hAnsiTheme="minorHAnsi"/>
          <w:sz w:val="24"/>
          <w:szCs w:val="24"/>
        </w:rPr>
        <w:t xml:space="preserve"> debido proceso. La decisión tomada por el Consejo Supremo Electoral violenta de manera flagrante los derechos políticos de los y las representantes destituidos.</w:t>
      </w:r>
    </w:p>
    <w:p w:rsidR="00B2259B" w:rsidRPr="00B2259B" w:rsidRDefault="00B2259B" w:rsidP="00B2259B">
      <w:pPr>
        <w:pStyle w:val="Sinespaciado"/>
        <w:spacing w:after="120" w:line="276" w:lineRule="auto"/>
        <w:jc w:val="both"/>
        <w:rPr>
          <w:rFonts w:asciiTheme="minorHAnsi" w:hAnsiTheme="minorHAnsi"/>
          <w:sz w:val="24"/>
          <w:szCs w:val="24"/>
        </w:rPr>
      </w:pPr>
      <w:r w:rsidRPr="00B2259B">
        <w:rPr>
          <w:rFonts w:asciiTheme="minorHAnsi" w:hAnsiTheme="minorHAnsi"/>
          <w:sz w:val="24"/>
          <w:szCs w:val="24"/>
        </w:rPr>
        <w:t>La Corte Interamericana de Derechos humanos establece que “el ejercicio efectivo de los derechos políticos constituye un fin en sí mismo y, a la vez, un medio fundamental que las sociedades democráticas tienen para garantizar los demás derechos humanos previstos en la Convención”</w:t>
      </w:r>
      <w:r w:rsidR="000D193F">
        <w:rPr>
          <w:rStyle w:val="Refdenotaalpie"/>
          <w:rFonts w:asciiTheme="minorHAnsi" w:hAnsiTheme="minorHAnsi"/>
          <w:sz w:val="24"/>
          <w:szCs w:val="24"/>
        </w:rPr>
        <w:footnoteReference w:id="2"/>
      </w:r>
    </w:p>
    <w:p w:rsidR="00DA3708" w:rsidRDefault="00B2259B" w:rsidP="00B2259B">
      <w:pPr>
        <w:pStyle w:val="Sinespaciado"/>
        <w:spacing w:after="120" w:line="276" w:lineRule="auto"/>
        <w:jc w:val="both"/>
        <w:rPr>
          <w:rFonts w:asciiTheme="minorHAnsi" w:hAnsiTheme="minorHAnsi"/>
          <w:sz w:val="24"/>
          <w:szCs w:val="24"/>
        </w:rPr>
      </w:pPr>
      <w:r w:rsidRPr="00B2259B">
        <w:rPr>
          <w:rFonts w:asciiTheme="minorHAnsi" w:hAnsiTheme="minorHAnsi"/>
          <w:sz w:val="24"/>
          <w:szCs w:val="24"/>
        </w:rPr>
        <w:lastRenderedPageBreak/>
        <w:t xml:space="preserve">Por otra parte, la Comisión Interamericana señala que, en situaciones relacionadas con funcionarios públicos elegidos por voluntad popular, cualquier proceso que conlleve su remoción, inhabilitación o destitución debe respetar los parámetros establecidos en la Convención Americana sobre Derechos Humanos. Con esto hace referencia directa a la necesidad de establecer un debido proceso, al derecho de defensa y al acceso a una tutela judicial efectiva. A la luz de los anteriores estándares, es evidente que la acción por parte del Estado nicaragüense contraviene sus obligaciones internacionales en materia de </w:t>
      </w:r>
      <w:r w:rsidR="00DA3708">
        <w:rPr>
          <w:rFonts w:asciiTheme="minorHAnsi" w:hAnsiTheme="minorHAnsi"/>
          <w:sz w:val="24"/>
          <w:szCs w:val="24"/>
        </w:rPr>
        <w:t>D</w:t>
      </w:r>
      <w:r w:rsidRPr="00B2259B">
        <w:rPr>
          <w:rFonts w:asciiTheme="minorHAnsi" w:hAnsiTheme="minorHAnsi"/>
          <w:sz w:val="24"/>
          <w:szCs w:val="24"/>
        </w:rPr>
        <w:t xml:space="preserve">erechos </w:t>
      </w:r>
      <w:r w:rsidR="00DA3708">
        <w:rPr>
          <w:rFonts w:asciiTheme="minorHAnsi" w:hAnsiTheme="minorHAnsi"/>
          <w:sz w:val="24"/>
          <w:szCs w:val="24"/>
        </w:rPr>
        <w:t>H</w:t>
      </w:r>
      <w:r w:rsidRPr="00B2259B">
        <w:rPr>
          <w:rFonts w:asciiTheme="minorHAnsi" w:hAnsiTheme="minorHAnsi"/>
          <w:sz w:val="24"/>
          <w:szCs w:val="24"/>
        </w:rPr>
        <w:t xml:space="preserve">umanos. La destitución arbitraria de los 28 diputados y diputadas también </w:t>
      </w:r>
      <w:r w:rsidR="002604B9">
        <w:rPr>
          <w:rFonts w:asciiTheme="minorHAnsi" w:hAnsiTheme="minorHAnsi"/>
          <w:sz w:val="24"/>
          <w:szCs w:val="24"/>
        </w:rPr>
        <w:t xml:space="preserve">afecta </w:t>
      </w:r>
      <w:r w:rsidRPr="00B2259B">
        <w:rPr>
          <w:rFonts w:asciiTheme="minorHAnsi" w:hAnsiTheme="minorHAnsi"/>
          <w:sz w:val="24"/>
          <w:szCs w:val="24"/>
        </w:rPr>
        <w:t xml:space="preserve">a quienes eligieron a estas personas, ya que se les priva de su derecho a participar en la dirección de los asuntos públicos, por medio de representantes libremente elegidos, tal y como lo establece el artículo 23.1 de la Convención Americana sobre Derechos Humanos y el artículo 28 del Pacto Internacional de Derechos Civiles y Políticos. </w:t>
      </w:r>
    </w:p>
    <w:p w:rsidR="00B2259B" w:rsidRPr="00B2259B" w:rsidRDefault="00B2259B" w:rsidP="00B2259B">
      <w:pPr>
        <w:pStyle w:val="Sinespaciado"/>
        <w:spacing w:after="120" w:line="276" w:lineRule="auto"/>
        <w:jc w:val="both"/>
        <w:rPr>
          <w:rFonts w:asciiTheme="minorHAnsi" w:hAnsiTheme="minorHAnsi"/>
          <w:sz w:val="24"/>
          <w:szCs w:val="24"/>
        </w:rPr>
      </w:pPr>
      <w:r w:rsidRPr="00B2259B">
        <w:rPr>
          <w:rFonts w:asciiTheme="minorHAnsi" w:hAnsiTheme="minorHAnsi"/>
          <w:sz w:val="24"/>
          <w:szCs w:val="24"/>
        </w:rPr>
        <w:t>No es la primera vez que Nicaragua violenta los derechos políticos de su población. En el año 2000 se excluyó arbitrariamente al Partido YATAMA de las elecciones municipales y en 2008 se hizo lo mismo con el Movimiento Renovador Sandinista. Sólo en el último periodo, 3 personas han sido destituidas de sus cargos en la Asamblea Nacional.</w:t>
      </w:r>
    </w:p>
    <w:p w:rsidR="00B2259B" w:rsidRPr="00B2259B" w:rsidRDefault="00B2259B" w:rsidP="00B2259B">
      <w:pPr>
        <w:spacing w:after="120" w:line="276" w:lineRule="auto"/>
        <w:jc w:val="both"/>
        <w:rPr>
          <w:rFonts w:asciiTheme="minorHAnsi" w:hAnsiTheme="minorHAnsi"/>
        </w:rPr>
      </w:pPr>
      <w:r w:rsidRPr="00B2259B">
        <w:rPr>
          <w:rFonts w:asciiTheme="minorHAnsi" w:hAnsiTheme="minorHAnsi"/>
        </w:rPr>
        <w:t xml:space="preserve">La Red Latinoamérica de Transparencia Legislativa hace un llamado a las autoridades competentes del Estado de Nicaragua </w:t>
      </w:r>
      <w:r w:rsidR="002604B9">
        <w:rPr>
          <w:rFonts w:asciiTheme="minorHAnsi" w:hAnsiTheme="minorHAnsi"/>
        </w:rPr>
        <w:t xml:space="preserve">para que ejerzan el debido control de legalidad y convencionalidad sobre </w:t>
      </w:r>
      <w:r w:rsidRPr="00B2259B">
        <w:rPr>
          <w:rFonts w:asciiTheme="minorHAnsi" w:hAnsiTheme="minorHAnsi"/>
        </w:rPr>
        <w:t xml:space="preserve">la decisión del Consejo Supremo Electoral, y que se respete la voluntad de quienes eligieron a sus representantes ante la Asamblea Nacional y se garantice el ejercicio pleno de los derechos políticos de </w:t>
      </w:r>
      <w:r w:rsidR="002604B9">
        <w:rPr>
          <w:rFonts w:asciiTheme="minorHAnsi" w:hAnsiTheme="minorHAnsi"/>
        </w:rPr>
        <w:t>todos los</w:t>
      </w:r>
      <w:r w:rsidR="00205743">
        <w:rPr>
          <w:rFonts w:asciiTheme="minorHAnsi" w:hAnsiTheme="minorHAnsi"/>
        </w:rPr>
        <w:t xml:space="preserve"> y las</w:t>
      </w:r>
      <w:r w:rsidR="002604B9">
        <w:rPr>
          <w:rFonts w:asciiTheme="minorHAnsi" w:hAnsiTheme="minorHAnsi"/>
        </w:rPr>
        <w:t xml:space="preserve"> </w:t>
      </w:r>
      <w:r w:rsidRPr="00B2259B">
        <w:rPr>
          <w:rFonts w:asciiTheme="minorHAnsi" w:hAnsiTheme="minorHAnsi"/>
        </w:rPr>
        <w:t>nicaragüenses.</w:t>
      </w:r>
    </w:p>
    <w:p w:rsidR="00B2259B" w:rsidRPr="00B2259B" w:rsidRDefault="00B2259B" w:rsidP="00B2259B">
      <w:pPr>
        <w:rPr>
          <w:rFonts w:asciiTheme="minorHAnsi" w:hAnsiTheme="minorHAnsi"/>
        </w:rPr>
      </w:pPr>
    </w:p>
    <w:p w:rsidR="00BB5BFB" w:rsidRPr="00B2259B" w:rsidRDefault="00BB5BFB" w:rsidP="00BB5BFB">
      <w:pPr>
        <w:ind w:firstLine="2694"/>
        <w:jc w:val="both"/>
        <w:rPr>
          <w:rFonts w:asciiTheme="minorHAnsi" w:hAnsiTheme="minorHAnsi"/>
        </w:rPr>
      </w:pPr>
    </w:p>
    <w:p w:rsidR="00BB5BFB" w:rsidRPr="00B2259B" w:rsidRDefault="00BB5BFB" w:rsidP="00BB5BFB">
      <w:pPr>
        <w:ind w:firstLine="2694"/>
        <w:jc w:val="both"/>
        <w:rPr>
          <w:rFonts w:asciiTheme="minorHAnsi" w:hAnsiTheme="minorHAnsi"/>
          <w:lang w:val="es-ES"/>
        </w:rPr>
      </w:pPr>
    </w:p>
    <w:p w:rsidR="00BB5BFB" w:rsidRPr="00B2259B" w:rsidRDefault="00BB5BFB" w:rsidP="00BB5BFB">
      <w:pPr>
        <w:ind w:firstLine="2694"/>
        <w:jc w:val="both"/>
        <w:rPr>
          <w:rFonts w:asciiTheme="minorHAnsi" w:hAnsiTheme="minorHAnsi"/>
          <w:lang w:val="es-ES"/>
        </w:rPr>
      </w:pPr>
    </w:p>
    <w:p w:rsidR="00BB5BFB" w:rsidRPr="00B2259B" w:rsidRDefault="00BB5BFB" w:rsidP="009579BF">
      <w:pPr>
        <w:ind w:firstLine="2694"/>
        <w:rPr>
          <w:rFonts w:asciiTheme="minorHAnsi" w:hAnsiTheme="minorHAnsi"/>
          <w:lang w:val="es-ES"/>
        </w:rPr>
      </w:pPr>
    </w:p>
    <w:sectPr w:rsidR="00BB5BFB" w:rsidRPr="00B2259B" w:rsidSect="002E1EE5">
      <w:headerReference w:type="default" r:id="rId8"/>
      <w:footerReference w:type="default" r:id="rId9"/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98A" w:rsidRDefault="00E9498A">
      <w:r>
        <w:separator/>
      </w:r>
    </w:p>
  </w:endnote>
  <w:endnote w:type="continuationSeparator" w:id="1">
    <w:p w:rsidR="00E9498A" w:rsidRDefault="00E94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E3B" w:rsidRDefault="00C40E3B" w:rsidP="00B80A9B">
    <w:pPr>
      <w:pStyle w:val="Prrafodelista"/>
      <w:pBdr>
        <w:top w:val="single" w:sz="4" w:space="1" w:color="auto"/>
      </w:pBdr>
      <w:ind w:left="0"/>
      <w:jc w:val="center"/>
      <w:rPr>
        <w:sz w:val="16"/>
        <w:szCs w:val="16"/>
        <w:u w:val="single"/>
      </w:rPr>
    </w:pPr>
  </w:p>
  <w:p w:rsidR="00C40E3B" w:rsidRPr="002B4B1D" w:rsidRDefault="00C40E3B" w:rsidP="00B80A9B">
    <w:pPr>
      <w:pStyle w:val="Prrafodelista"/>
      <w:pBdr>
        <w:top w:val="single" w:sz="4" w:space="1" w:color="auto"/>
      </w:pBdr>
      <w:ind w:left="0"/>
      <w:jc w:val="center"/>
      <w:rPr>
        <w:sz w:val="16"/>
        <w:szCs w:val="16"/>
      </w:rPr>
    </w:pPr>
    <w:r w:rsidRPr="002B4B1D">
      <w:rPr>
        <w:sz w:val="16"/>
        <w:szCs w:val="16"/>
        <w:u w:val="single"/>
      </w:rPr>
      <w:t>Las organizaciones que conforman la Red Latinoamericana por la Transparencia Legislativa son</w:t>
    </w:r>
    <w:r w:rsidRPr="002B4B1D">
      <w:rPr>
        <w:sz w:val="16"/>
        <w:szCs w:val="16"/>
      </w:rPr>
      <w:t xml:space="preserve">: </w:t>
    </w:r>
  </w:p>
  <w:p w:rsidR="00C40E3B" w:rsidRPr="002310E5" w:rsidRDefault="00C40E3B" w:rsidP="000127B7">
    <w:pPr>
      <w:pStyle w:val="Prrafodelista"/>
      <w:ind w:left="0"/>
      <w:jc w:val="center"/>
      <w:rPr>
        <w:sz w:val="16"/>
        <w:szCs w:val="16"/>
      </w:rPr>
    </w:pPr>
    <w:r>
      <w:rPr>
        <w:sz w:val="16"/>
        <w:szCs w:val="16"/>
      </w:rPr>
      <w:t xml:space="preserve">Argentina: </w:t>
    </w:r>
    <w:r w:rsidR="000127B7">
      <w:rPr>
        <w:sz w:val="16"/>
        <w:szCs w:val="16"/>
      </w:rPr>
      <w:t xml:space="preserve">Asociación Civil por la Igualdad y la Justicia; </w:t>
    </w:r>
    <w:r w:rsidRPr="002B4B1D">
      <w:rPr>
        <w:sz w:val="16"/>
        <w:szCs w:val="16"/>
      </w:rPr>
      <w:t>Asoc</w:t>
    </w:r>
    <w:r>
      <w:rPr>
        <w:sz w:val="16"/>
        <w:szCs w:val="16"/>
      </w:rPr>
      <w:t>iación por los Derechos Civiles,</w:t>
    </w:r>
    <w:r w:rsidRPr="002B4B1D">
      <w:rPr>
        <w:sz w:val="16"/>
        <w:szCs w:val="16"/>
      </w:rPr>
      <w:t xml:space="preserve"> CIPPEC,</w:t>
    </w:r>
    <w:r>
      <w:rPr>
        <w:sz w:val="16"/>
        <w:szCs w:val="16"/>
      </w:rPr>
      <w:t xml:space="preserve"> Fundación</w:t>
    </w:r>
    <w:r w:rsidRPr="002B4B1D">
      <w:rPr>
        <w:sz w:val="16"/>
        <w:szCs w:val="16"/>
      </w:rPr>
      <w:t xml:space="preserve"> Directorio Legislativo, </w:t>
    </w:r>
    <w:r>
      <w:rPr>
        <w:sz w:val="16"/>
        <w:szCs w:val="16"/>
      </w:rPr>
      <w:t>Poder Ciudadano; Bolivia: Bolivia Transparente; Chile:</w:t>
    </w:r>
    <w:r w:rsidRPr="002B4B1D">
      <w:rPr>
        <w:sz w:val="16"/>
        <w:szCs w:val="16"/>
      </w:rPr>
      <w:t xml:space="preserve"> Ciudadano </w:t>
    </w:r>
    <w:r w:rsidR="002310E5">
      <w:rPr>
        <w:sz w:val="16"/>
        <w:szCs w:val="16"/>
      </w:rPr>
      <w:t>Inteligente, Chile Transparente</w:t>
    </w:r>
    <w:r>
      <w:rPr>
        <w:sz w:val="16"/>
        <w:szCs w:val="16"/>
      </w:rPr>
      <w:t>;</w:t>
    </w:r>
    <w:r w:rsidR="000D193F">
      <w:rPr>
        <w:sz w:val="16"/>
        <w:szCs w:val="16"/>
      </w:rPr>
      <w:t xml:space="preserve"> </w:t>
    </w:r>
    <w:r>
      <w:rPr>
        <w:sz w:val="16"/>
        <w:szCs w:val="16"/>
      </w:rPr>
      <w:t xml:space="preserve">Colombia: </w:t>
    </w:r>
    <w:r w:rsidRPr="002B4B1D">
      <w:rPr>
        <w:sz w:val="16"/>
        <w:szCs w:val="16"/>
      </w:rPr>
      <w:t xml:space="preserve">Congreso </w:t>
    </w:r>
    <w:r>
      <w:rPr>
        <w:sz w:val="16"/>
        <w:szCs w:val="16"/>
      </w:rPr>
      <w:t>Visible,</w:t>
    </w:r>
    <w:r w:rsidR="000D193F">
      <w:rPr>
        <w:sz w:val="16"/>
        <w:szCs w:val="16"/>
      </w:rPr>
      <w:t xml:space="preserve"> </w:t>
    </w:r>
    <w:r>
      <w:rPr>
        <w:sz w:val="16"/>
        <w:szCs w:val="16"/>
      </w:rPr>
      <w:t xml:space="preserve">Instituto de Ciencia Política, </w:t>
    </w:r>
    <w:r w:rsidRPr="002B4B1D">
      <w:rPr>
        <w:sz w:val="16"/>
        <w:szCs w:val="16"/>
      </w:rPr>
      <w:t>Transparencia por Colombia;</w:t>
    </w:r>
    <w:r w:rsidR="000D193F">
      <w:rPr>
        <w:sz w:val="16"/>
        <w:szCs w:val="16"/>
      </w:rPr>
      <w:t xml:space="preserve"> </w:t>
    </w:r>
    <w:r w:rsidR="007D24B5">
      <w:rPr>
        <w:sz w:val="16"/>
        <w:szCs w:val="16"/>
      </w:rPr>
      <w:t xml:space="preserve">Costa Rica: ACCESA; </w:t>
    </w:r>
    <w:r w:rsidR="002310E5">
      <w:rPr>
        <w:sz w:val="16"/>
        <w:szCs w:val="16"/>
      </w:rPr>
      <w:t>Ecuador: Observatorio Legislativo;</w:t>
    </w:r>
    <w:r>
      <w:rPr>
        <w:sz w:val="16"/>
        <w:szCs w:val="16"/>
      </w:rPr>
      <w:t xml:space="preserve"> Guatemala:</w:t>
    </w:r>
    <w:r w:rsidR="000D193F">
      <w:rPr>
        <w:sz w:val="16"/>
        <w:szCs w:val="16"/>
      </w:rPr>
      <w:t xml:space="preserve"> </w:t>
    </w:r>
    <w:r>
      <w:rPr>
        <w:sz w:val="16"/>
        <w:szCs w:val="16"/>
      </w:rPr>
      <w:t>Acción Ciudadana</w:t>
    </w:r>
    <w:r w:rsidR="000127B7">
      <w:rPr>
        <w:sz w:val="16"/>
        <w:szCs w:val="16"/>
      </w:rPr>
      <w:t>, Congreso Transparente</w:t>
    </w:r>
    <w:r>
      <w:rPr>
        <w:sz w:val="16"/>
        <w:szCs w:val="16"/>
      </w:rPr>
      <w:t xml:space="preserve">; México: </w:t>
    </w:r>
    <w:r w:rsidRPr="002B4B1D">
      <w:rPr>
        <w:sz w:val="16"/>
        <w:szCs w:val="16"/>
      </w:rPr>
      <w:t xml:space="preserve">Fundar </w:t>
    </w:r>
    <w:r w:rsidRPr="002B4B1D">
      <w:rPr>
        <w:rFonts w:cs="Arial"/>
        <w:sz w:val="16"/>
        <w:szCs w:val="16"/>
        <w:lang w:val="es-ES_tradnl"/>
      </w:rPr>
      <w:t>Centro de Análisis e I</w:t>
    </w:r>
    <w:r>
      <w:rPr>
        <w:rFonts w:cs="Arial"/>
        <w:sz w:val="16"/>
        <w:szCs w:val="16"/>
        <w:lang w:val="es-ES_tradnl"/>
      </w:rPr>
      <w:t>nvestigació</w:t>
    </w:r>
    <w:r w:rsidRPr="002B4B1D">
      <w:rPr>
        <w:rFonts w:cs="Arial"/>
        <w:sz w:val="16"/>
        <w:szCs w:val="16"/>
        <w:lang w:val="es-ES_tradnl"/>
      </w:rPr>
      <w:t>n</w:t>
    </w:r>
    <w:r>
      <w:rPr>
        <w:rFonts w:cs="Arial"/>
        <w:sz w:val="16"/>
        <w:szCs w:val="16"/>
        <w:lang w:val="es-ES_tradnl"/>
      </w:rPr>
      <w:t>,</w:t>
    </w:r>
    <w:r>
      <w:rPr>
        <w:sz w:val="16"/>
        <w:szCs w:val="16"/>
      </w:rPr>
      <w:t xml:space="preserve"> Impacto Legislativo</w:t>
    </w:r>
    <w:r w:rsidR="002310E5">
      <w:rPr>
        <w:sz w:val="16"/>
        <w:szCs w:val="16"/>
      </w:rPr>
      <w:t xml:space="preserve">, </w:t>
    </w:r>
    <w:r w:rsidR="007D24B5">
      <w:rPr>
        <w:sz w:val="16"/>
        <w:szCs w:val="16"/>
      </w:rPr>
      <w:t xml:space="preserve">Transparencia Mexicana, </w:t>
    </w:r>
    <w:r w:rsidR="002310E5">
      <w:rPr>
        <w:sz w:val="16"/>
        <w:szCs w:val="16"/>
      </w:rPr>
      <w:t>Visión Legislativa</w:t>
    </w:r>
    <w:r w:rsidRPr="002B4B1D">
      <w:rPr>
        <w:sz w:val="16"/>
        <w:szCs w:val="16"/>
      </w:rPr>
      <w:t xml:space="preserve">; </w:t>
    </w:r>
    <w:r w:rsidR="000127B7">
      <w:rPr>
        <w:sz w:val="16"/>
        <w:szCs w:val="16"/>
      </w:rPr>
      <w:t>Paraguay: Semillas para la Democracia</w:t>
    </w:r>
    <w:r w:rsidR="007D24B5">
      <w:rPr>
        <w:sz w:val="16"/>
        <w:szCs w:val="16"/>
      </w:rPr>
      <w:t>, TEDIC</w:t>
    </w:r>
    <w:r w:rsidR="000127B7">
      <w:rPr>
        <w:sz w:val="16"/>
        <w:szCs w:val="16"/>
      </w:rPr>
      <w:t xml:space="preserve">; </w:t>
    </w:r>
    <w:r>
      <w:rPr>
        <w:sz w:val="16"/>
        <w:szCs w:val="16"/>
      </w:rPr>
      <w:t xml:space="preserve">Perú: Reflexión Democrática, Transparencia Perú; </w:t>
    </w:r>
    <w:r w:rsidR="007D24B5">
      <w:rPr>
        <w:sz w:val="16"/>
        <w:szCs w:val="16"/>
      </w:rPr>
      <w:t xml:space="preserve">República Dominicana: Participación Ciudadana; </w:t>
    </w:r>
    <w:r>
      <w:rPr>
        <w:sz w:val="16"/>
        <w:szCs w:val="16"/>
      </w:rPr>
      <w:t>Venezuela: Transpar</w:t>
    </w:r>
    <w:r w:rsidR="002310E5">
      <w:rPr>
        <w:sz w:val="16"/>
        <w:szCs w:val="16"/>
      </w:rPr>
      <w:t>encia Venezuela; Uruguay: DATA.</w:t>
    </w:r>
  </w:p>
  <w:p w:rsidR="007264A4" w:rsidRDefault="007264A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98A" w:rsidRDefault="00E9498A">
      <w:r>
        <w:separator/>
      </w:r>
    </w:p>
  </w:footnote>
  <w:footnote w:type="continuationSeparator" w:id="1">
    <w:p w:rsidR="00E9498A" w:rsidRDefault="00E9498A">
      <w:r>
        <w:continuationSeparator/>
      </w:r>
    </w:p>
  </w:footnote>
  <w:footnote w:id="2">
    <w:p w:rsidR="000D193F" w:rsidRPr="000D193F" w:rsidRDefault="000D193F">
      <w:pPr>
        <w:pStyle w:val="Textonotapie"/>
        <w:rPr>
          <w:sz w:val="20"/>
          <w:szCs w:val="20"/>
          <w:lang w:val="es-AR"/>
        </w:rPr>
      </w:pPr>
      <w:r w:rsidRPr="000D193F">
        <w:rPr>
          <w:rStyle w:val="Refdenotaalpie"/>
          <w:sz w:val="20"/>
          <w:szCs w:val="20"/>
        </w:rPr>
        <w:footnoteRef/>
      </w:r>
      <w:r w:rsidRPr="000D193F">
        <w:rPr>
          <w:sz w:val="20"/>
          <w:szCs w:val="20"/>
        </w:rPr>
        <w:t xml:space="preserve"> </w:t>
      </w:r>
      <w:r w:rsidRPr="000D193F">
        <w:rPr>
          <w:sz w:val="20"/>
          <w:szCs w:val="20"/>
          <w:lang w:val="es-AR"/>
        </w:rPr>
        <w:t>Ver art. 143</w:t>
      </w:r>
      <w:r>
        <w:rPr>
          <w:sz w:val="20"/>
          <w:szCs w:val="20"/>
          <w:lang w:val="es-AR"/>
        </w:rPr>
        <w:t>:</w:t>
      </w:r>
      <w:r w:rsidRPr="000D193F">
        <w:rPr>
          <w:sz w:val="20"/>
          <w:szCs w:val="20"/>
          <w:lang w:val="es-AR"/>
        </w:rPr>
        <w:t xml:space="preserve"> http://www.corteidh.or.cr/cf/Jurisprudencia2/ficha_tecnica.cfm?nId_Ficha=298&amp;lang=e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E3B" w:rsidRDefault="00455ACB" w:rsidP="00385CC4">
    <w:pPr>
      <w:pStyle w:val="Encabezado"/>
    </w:pPr>
    <w:r w:rsidRPr="00455ACB">
      <w:rPr>
        <w:noProof/>
        <w:lang w:val="es-CO" w:eastAsia="es-CO"/>
      </w:rPr>
      <w:pict>
        <v:line id="2 Conector recto" o:spid="_x0000_s4097" style="position:absolute;z-index:251659264;visibility:visible;mso-width-relative:margin;mso-height-relative:margin" from="258.45pt,36.6pt" to="453.45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" strokecolor="black [3040]"/>
      </w:pict>
    </w:r>
    <w:r w:rsidR="00385CC4">
      <w:rPr>
        <w:noProof/>
        <w:lang w:val="es-AR" w:eastAsia="es-AR"/>
      </w:rPr>
      <w:drawing>
        <wp:inline distT="0" distB="0" distL="0" distR="0">
          <wp:extent cx="3114675" cy="584002"/>
          <wp:effectExtent l="0" t="0" r="0" b="698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7583" cy="5845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27136" w:rsidRPr="00385CC4" w:rsidRDefault="00C27136" w:rsidP="00385CC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65504"/>
    <w:multiLevelType w:val="hybridMultilevel"/>
    <w:tmpl w:val="A2FC312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85DBD"/>
    <w:multiLevelType w:val="hybridMultilevel"/>
    <w:tmpl w:val="FE9EA7AC"/>
    <w:lvl w:ilvl="0" w:tplc="FAD0AE3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9" w:hanging="360"/>
      </w:pPr>
    </w:lvl>
    <w:lvl w:ilvl="2" w:tplc="2C0A001B" w:tentative="1">
      <w:start w:val="1"/>
      <w:numFmt w:val="lowerRoman"/>
      <w:lvlText w:val="%3."/>
      <w:lvlJc w:val="right"/>
      <w:pPr>
        <w:ind w:left="2509" w:hanging="180"/>
      </w:pPr>
    </w:lvl>
    <w:lvl w:ilvl="3" w:tplc="2C0A000F" w:tentative="1">
      <w:start w:val="1"/>
      <w:numFmt w:val="decimal"/>
      <w:lvlText w:val="%4."/>
      <w:lvlJc w:val="left"/>
      <w:pPr>
        <w:ind w:left="3229" w:hanging="360"/>
      </w:pPr>
    </w:lvl>
    <w:lvl w:ilvl="4" w:tplc="2C0A0019" w:tentative="1">
      <w:start w:val="1"/>
      <w:numFmt w:val="lowerLetter"/>
      <w:lvlText w:val="%5."/>
      <w:lvlJc w:val="left"/>
      <w:pPr>
        <w:ind w:left="3949" w:hanging="360"/>
      </w:pPr>
    </w:lvl>
    <w:lvl w:ilvl="5" w:tplc="2C0A001B" w:tentative="1">
      <w:start w:val="1"/>
      <w:numFmt w:val="lowerRoman"/>
      <w:lvlText w:val="%6."/>
      <w:lvlJc w:val="right"/>
      <w:pPr>
        <w:ind w:left="4669" w:hanging="180"/>
      </w:pPr>
    </w:lvl>
    <w:lvl w:ilvl="6" w:tplc="2C0A000F" w:tentative="1">
      <w:start w:val="1"/>
      <w:numFmt w:val="decimal"/>
      <w:lvlText w:val="%7."/>
      <w:lvlJc w:val="left"/>
      <w:pPr>
        <w:ind w:left="5389" w:hanging="360"/>
      </w:pPr>
    </w:lvl>
    <w:lvl w:ilvl="7" w:tplc="2C0A0019" w:tentative="1">
      <w:start w:val="1"/>
      <w:numFmt w:val="lowerLetter"/>
      <w:lvlText w:val="%8."/>
      <w:lvlJc w:val="left"/>
      <w:pPr>
        <w:ind w:left="6109" w:hanging="360"/>
      </w:pPr>
    </w:lvl>
    <w:lvl w:ilvl="8" w:tplc="2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E80634"/>
    <w:multiLevelType w:val="hybridMultilevel"/>
    <w:tmpl w:val="BBAEB6B6"/>
    <w:lvl w:ilvl="0" w:tplc="284E947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AD6EB4"/>
    <w:multiLevelType w:val="hybridMultilevel"/>
    <w:tmpl w:val="A0788980"/>
    <w:lvl w:ilvl="0" w:tplc="220452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F166A4"/>
    <w:multiLevelType w:val="hybridMultilevel"/>
    <w:tmpl w:val="993C3F9E"/>
    <w:lvl w:ilvl="0" w:tplc="09EE2EA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58C007F1"/>
    <w:multiLevelType w:val="hybridMultilevel"/>
    <w:tmpl w:val="47BC8D94"/>
    <w:lvl w:ilvl="0" w:tplc="51744382">
      <w:start w:val="2"/>
      <w:numFmt w:val="bullet"/>
      <w:lvlText w:val="-"/>
      <w:lvlJc w:val="left"/>
      <w:pPr>
        <w:ind w:left="1080" w:hanging="360"/>
      </w:pPr>
      <w:rPr>
        <w:rFonts w:ascii="Calibri" w:eastAsia="SimSun" w:hAnsi="Calibri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NVESTIGADOR">
    <w15:presenceInfo w15:providerId="AD" w15:userId="S-1-5-21-589776761-3710956920-2463595509-1270"/>
  </w15:person>
  <w15:person w15:author="Dirproyectos">
    <w15:presenceInfo w15:providerId="AD" w15:userId="S-1-5-21-589776761-3710956920-2463595509-111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B32844"/>
    <w:rsid w:val="000127B7"/>
    <w:rsid w:val="00051270"/>
    <w:rsid w:val="0005409F"/>
    <w:rsid w:val="000661B4"/>
    <w:rsid w:val="0008223E"/>
    <w:rsid w:val="000D193F"/>
    <w:rsid w:val="000E33B5"/>
    <w:rsid w:val="000E5EA3"/>
    <w:rsid w:val="00110018"/>
    <w:rsid w:val="00114803"/>
    <w:rsid w:val="00115BE7"/>
    <w:rsid w:val="00130E77"/>
    <w:rsid w:val="00131653"/>
    <w:rsid w:val="00141BFF"/>
    <w:rsid w:val="00153B9E"/>
    <w:rsid w:val="001809CE"/>
    <w:rsid w:val="00184725"/>
    <w:rsid w:val="0019428D"/>
    <w:rsid w:val="00197BDE"/>
    <w:rsid w:val="001B0C7E"/>
    <w:rsid w:val="001D3B03"/>
    <w:rsid w:val="001E57ED"/>
    <w:rsid w:val="001E5ACA"/>
    <w:rsid w:val="00205743"/>
    <w:rsid w:val="00205AEB"/>
    <w:rsid w:val="0020635E"/>
    <w:rsid w:val="0022728D"/>
    <w:rsid w:val="002310E5"/>
    <w:rsid w:val="002322E1"/>
    <w:rsid w:val="002505A2"/>
    <w:rsid w:val="00256176"/>
    <w:rsid w:val="00256F1F"/>
    <w:rsid w:val="00260472"/>
    <w:rsid w:val="002604B9"/>
    <w:rsid w:val="00260736"/>
    <w:rsid w:val="00293CB4"/>
    <w:rsid w:val="002A7915"/>
    <w:rsid w:val="002B4B1D"/>
    <w:rsid w:val="002C601B"/>
    <w:rsid w:val="002D30C4"/>
    <w:rsid w:val="002D3133"/>
    <w:rsid w:val="002E1EE5"/>
    <w:rsid w:val="003066F4"/>
    <w:rsid w:val="0032713A"/>
    <w:rsid w:val="00334765"/>
    <w:rsid w:val="0034344E"/>
    <w:rsid w:val="00344092"/>
    <w:rsid w:val="003546FF"/>
    <w:rsid w:val="003762B3"/>
    <w:rsid w:val="00385CC4"/>
    <w:rsid w:val="00393905"/>
    <w:rsid w:val="00395A6C"/>
    <w:rsid w:val="003C558F"/>
    <w:rsid w:val="003E68F3"/>
    <w:rsid w:val="003F42AB"/>
    <w:rsid w:val="003F7C2A"/>
    <w:rsid w:val="00433832"/>
    <w:rsid w:val="0044641A"/>
    <w:rsid w:val="00455ACB"/>
    <w:rsid w:val="00461C7A"/>
    <w:rsid w:val="00461F63"/>
    <w:rsid w:val="00476E5E"/>
    <w:rsid w:val="004B3FD7"/>
    <w:rsid w:val="004C5752"/>
    <w:rsid w:val="004E0552"/>
    <w:rsid w:val="004E5EAB"/>
    <w:rsid w:val="004F6746"/>
    <w:rsid w:val="00504B53"/>
    <w:rsid w:val="00511CAC"/>
    <w:rsid w:val="00534C04"/>
    <w:rsid w:val="00570E80"/>
    <w:rsid w:val="00582594"/>
    <w:rsid w:val="00587C36"/>
    <w:rsid w:val="00591536"/>
    <w:rsid w:val="00595377"/>
    <w:rsid w:val="005A2D53"/>
    <w:rsid w:val="005A7D5B"/>
    <w:rsid w:val="005C0B67"/>
    <w:rsid w:val="005C2367"/>
    <w:rsid w:val="005E3840"/>
    <w:rsid w:val="005F5625"/>
    <w:rsid w:val="006026A8"/>
    <w:rsid w:val="006026C1"/>
    <w:rsid w:val="00612CF0"/>
    <w:rsid w:val="00612D01"/>
    <w:rsid w:val="006150BA"/>
    <w:rsid w:val="00620304"/>
    <w:rsid w:val="00633472"/>
    <w:rsid w:val="00652CC3"/>
    <w:rsid w:val="006576AF"/>
    <w:rsid w:val="006741F1"/>
    <w:rsid w:val="006747F2"/>
    <w:rsid w:val="00677DC8"/>
    <w:rsid w:val="0068607F"/>
    <w:rsid w:val="00686B49"/>
    <w:rsid w:val="006A5E6D"/>
    <w:rsid w:val="006C639B"/>
    <w:rsid w:val="006D1CB3"/>
    <w:rsid w:val="006E5F02"/>
    <w:rsid w:val="006F09EE"/>
    <w:rsid w:val="0070684C"/>
    <w:rsid w:val="00707DD5"/>
    <w:rsid w:val="00714453"/>
    <w:rsid w:val="007175F8"/>
    <w:rsid w:val="00724E00"/>
    <w:rsid w:val="007264A4"/>
    <w:rsid w:val="00740625"/>
    <w:rsid w:val="00740A92"/>
    <w:rsid w:val="0074691D"/>
    <w:rsid w:val="007512B5"/>
    <w:rsid w:val="00754732"/>
    <w:rsid w:val="00785D04"/>
    <w:rsid w:val="007A5176"/>
    <w:rsid w:val="007C5D9A"/>
    <w:rsid w:val="007D24B5"/>
    <w:rsid w:val="007E2B13"/>
    <w:rsid w:val="007F5DF2"/>
    <w:rsid w:val="00825290"/>
    <w:rsid w:val="00830ED3"/>
    <w:rsid w:val="00831CA3"/>
    <w:rsid w:val="00837342"/>
    <w:rsid w:val="008424EF"/>
    <w:rsid w:val="0088064A"/>
    <w:rsid w:val="008B4839"/>
    <w:rsid w:val="008C0959"/>
    <w:rsid w:val="008D0F08"/>
    <w:rsid w:val="008E36FE"/>
    <w:rsid w:val="008F18B9"/>
    <w:rsid w:val="008F4953"/>
    <w:rsid w:val="008F6100"/>
    <w:rsid w:val="009149D0"/>
    <w:rsid w:val="0093730F"/>
    <w:rsid w:val="009375FB"/>
    <w:rsid w:val="009466DE"/>
    <w:rsid w:val="009501E8"/>
    <w:rsid w:val="00954164"/>
    <w:rsid w:val="009579BF"/>
    <w:rsid w:val="00980CE8"/>
    <w:rsid w:val="00981AD2"/>
    <w:rsid w:val="00982245"/>
    <w:rsid w:val="009A19A4"/>
    <w:rsid w:val="009A6B71"/>
    <w:rsid w:val="009C3365"/>
    <w:rsid w:val="009C669F"/>
    <w:rsid w:val="009E412A"/>
    <w:rsid w:val="00A042E3"/>
    <w:rsid w:val="00A112D5"/>
    <w:rsid w:val="00A26771"/>
    <w:rsid w:val="00A439E8"/>
    <w:rsid w:val="00A52F98"/>
    <w:rsid w:val="00AA7398"/>
    <w:rsid w:val="00AB1C7A"/>
    <w:rsid w:val="00AC3630"/>
    <w:rsid w:val="00AD3B2A"/>
    <w:rsid w:val="00AD5297"/>
    <w:rsid w:val="00AF0A04"/>
    <w:rsid w:val="00AF4916"/>
    <w:rsid w:val="00AF69F8"/>
    <w:rsid w:val="00AF7E88"/>
    <w:rsid w:val="00B2259B"/>
    <w:rsid w:val="00B248B6"/>
    <w:rsid w:val="00B32844"/>
    <w:rsid w:val="00B705B3"/>
    <w:rsid w:val="00B80A9B"/>
    <w:rsid w:val="00B91F90"/>
    <w:rsid w:val="00BA21A4"/>
    <w:rsid w:val="00BB0C20"/>
    <w:rsid w:val="00BB15EA"/>
    <w:rsid w:val="00BB20BA"/>
    <w:rsid w:val="00BB5BFB"/>
    <w:rsid w:val="00C03CCB"/>
    <w:rsid w:val="00C165E7"/>
    <w:rsid w:val="00C27136"/>
    <w:rsid w:val="00C351B5"/>
    <w:rsid w:val="00C40E3B"/>
    <w:rsid w:val="00C7752E"/>
    <w:rsid w:val="00CA4C2C"/>
    <w:rsid w:val="00CB1F84"/>
    <w:rsid w:val="00CB6FB6"/>
    <w:rsid w:val="00CF1832"/>
    <w:rsid w:val="00CF4ADE"/>
    <w:rsid w:val="00D04758"/>
    <w:rsid w:val="00D112F1"/>
    <w:rsid w:val="00D118C4"/>
    <w:rsid w:val="00D55F7C"/>
    <w:rsid w:val="00D73D24"/>
    <w:rsid w:val="00D832AC"/>
    <w:rsid w:val="00D9190A"/>
    <w:rsid w:val="00D92D5E"/>
    <w:rsid w:val="00DA19D5"/>
    <w:rsid w:val="00DA3708"/>
    <w:rsid w:val="00DA58A1"/>
    <w:rsid w:val="00DA68EF"/>
    <w:rsid w:val="00DB0990"/>
    <w:rsid w:val="00DE4546"/>
    <w:rsid w:val="00DF1E21"/>
    <w:rsid w:val="00DF4D9E"/>
    <w:rsid w:val="00E14B2A"/>
    <w:rsid w:val="00E33B92"/>
    <w:rsid w:val="00E3459D"/>
    <w:rsid w:val="00E62164"/>
    <w:rsid w:val="00E62C5E"/>
    <w:rsid w:val="00E67BCB"/>
    <w:rsid w:val="00E8753B"/>
    <w:rsid w:val="00E9498A"/>
    <w:rsid w:val="00E97045"/>
    <w:rsid w:val="00EC19C1"/>
    <w:rsid w:val="00ED1003"/>
    <w:rsid w:val="00EE5CEE"/>
    <w:rsid w:val="00F00DDA"/>
    <w:rsid w:val="00F3276A"/>
    <w:rsid w:val="00F413E5"/>
    <w:rsid w:val="00F565E1"/>
    <w:rsid w:val="00F61B53"/>
    <w:rsid w:val="00F7775F"/>
    <w:rsid w:val="00F77D60"/>
    <w:rsid w:val="00F91B3A"/>
    <w:rsid w:val="00FC10FF"/>
    <w:rsid w:val="00FC3058"/>
    <w:rsid w:val="00FD373A"/>
    <w:rsid w:val="00FD3A2C"/>
    <w:rsid w:val="00FF5654"/>
    <w:rsid w:val="00FF59E1"/>
    <w:rsid w:val="00FF7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C36"/>
    <w:rPr>
      <w:sz w:val="24"/>
      <w:szCs w:val="24"/>
      <w:lang w:val="es-MX" w:eastAsia="zh-CN"/>
    </w:rPr>
  </w:style>
  <w:style w:type="paragraph" w:styleId="Ttulo1">
    <w:name w:val="heading 1"/>
    <w:basedOn w:val="Normal"/>
    <w:link w:val="Ttulo1Car"/>
    <w:uiPriority w:val="99"/>
    <w:qFormat/>
    <w:rsid w:val="00587C3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locked/>
    <w:rsid w:val="00DF4D9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EC19C1"/>
    <w:rPr>
      <w:rFonts w:eastAsia="SimSun" w:cs="Times New Roman"/>
      <w:b/>
      <w:bCs/>
      <w:kern w:val="36"/>
      <w:sz w:val="48"/>
      <w:szCs w:val="48"/>
      <w:lang w:val="es-MX" w:eastAsia="zh-CN" w:bidi="ar-SA"/>
    </w:rPr>
  </w:style>
  <w:style w:type="paragraph" w:styleId="NormalWeb">
    <w:name w:val="Normal (Web)"/>
    <w:basedOn w:val="Normal"/>
    <w:rsid w:val="00587C36"/>
    <w:pPr>
      <w:spacing w:before="100" w:beforeAutospacing="1" w:after="100" w:afterAutospacing="1"/>
    </w:pPr>
  </w:style>
  <w:style w:type="character" w:styleId="Textoennegrita">
    <w:name w:val="Strong"/>
    <w:basedOn w:val="Fuentedeprrafopredeter"/>
    <w:qFormat/>
    <w:rsid w:val="00587C36"/>
    <w:rPr>
      <w:rFonts w:cs="Times New Roman"/>
      <w:b/>
      <w:bCs/>
    </w:rPr>
  </w:style>
  <w:style w:type="paragraph" w:styleId="Textodeglobo">
    <w:name w:val="Balloon Text"/>
    <w:basedOn w:val="Normal"/>
    <w:link w:val="TextodegloboCar"/>
    <w:uiPriority w:val="99"/>
    <w:semiHidden/>
    <w:rsid w:val="00153B9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8753B"/>
    <w:rPr>
      <w:rFonts w:cs="Times New Roman"/>
      <w:sz w:val="2"/>
      <w:lang w:val="es-MX" w:eastAsia="zh-CN"/>
    </w:rPr>
  </w:style>
  <w:style w:type="character" w:customStyle="1" w:styleId="apple-style-span">
    <w:name w:val="apple-style-span"/>
    <w:basedOn w:val="Fuentedeprrafopredeter"/>
    <w:rsid w:val="00EC19C1"/>
    <w:rPr>
      <w:rFonts w:cs="Times New Roman"/>
    </w:rPr>
  </w:style>
  <w:style w:type="character" w:customStyle="1" w:styleId="apple-converted-space">
    <w:name w:val="apple-converted-space"/>
    <w:basedOn w:val="Fuentedeprrafopredeter"/>
    <w:rsid w:val="00EC19C1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58259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E8753B"/>
    <w:rPr>
      <w:rFonts w:cs="Times New Roman"/>
      <w:sz w:val="24"/>
      <w:szCs w:val="24"/>
      <w:lang w:val="es-MX" w:eastAsia="zh-CN"/>
    </w:rPr>
  </w:style>
  <w:style w:type="paragraph" w:styleId="Piedepgina">
    <w:name w:val="footer"/>
    <w:basedOn w:val="Normal"/>
    <w:link w:val="PiedepginaCar"/>
    <w:uiPriority w:val="99"/>
    <w:rsid w:val="0058259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E8753B"/>
    <w:rPr>
      <w:rFonts w:cs="Times New Roman"/>
      <w:sz w:val="24"/>
      <w:szCs w:val="24"/>
      <w:lang w:val="es-MX" w:eastAsia="zh-CN"/>
    </w:rPr>
  </w:style>
  <w:style w:type="paragraph" w:styleId="Prrafodelista">
    <w:name w:val="List Paragraph"/>
    <w:basedOn w:val="Normal"/>
    <w:uiPriority w:val="34"/>
    <w:qFormat/>
    <w:rsid w:val="00B80A9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ES" w:eastAsia="en-US"/>
    </w:rPr>
  </w:style>
  <w:style w:type="character" w:customStyle="1" w:styleId="Ttulo4Car">
    <w:name w:val="Título 4 Car"/>
    <w:basedOn w:val="Fuentedeprrafopredeter"/>
    <w:link w:val="Ttulo4"/>
    <w:uiPriority w:val="9"/>
    <w:rsid w:val="00DF4D9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MX" w:eastAsia="zh-CN"/>
    </w:rPr>
  </w:style>
  <w:style w:type="character" w:styleId="Refdecomentario">
    <w:name w:val="annotation reference"/>
    <w:basedOn w:val="Fuentedeprrafopredeter"/>
    <w:uiPriority w:val="99"/>
    <w:semiHidden/>
    <w:unhideWhenUsed/>
    <w:rsid w:val="00BA21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A21A4"/>
    <w:pPr>
      <w:spacing w:after="200" w:line="276" w:lineRule="auto"/>
    </w:pPr>
    <w:rPr>
      <w:rFonts w:ascii="Calibri" w:eastAsia="Calibri" w:hAnsi="Calibri"/>
      <w:sz w:val="20"/>
      <w:szCs w:val="20"/>
      <w:lang w:val="es-ES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A21A4"/>
    <w:rPr>
      <w:rFonts w:ascii="Calibri" w:eastAsia="Calibri" w:hAnsi="Calibri"/>
      <w:sz w:val="20"/>
      <w:szCs w:val="20"/>
      <w:lang w:val="es-ES"/>
    </w:rPr>
  </w:style>
  <w:style w:type="table" w:styleId="Tablaconcuadrcula">
    <w:name w:val="Table Grid"/>
    <w:basedOn w:val="Tablanormal"/>
    <w:uiPriority w:val="59"/>
    <w:locked/>
    <w:rsid w:val="00BA21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nhideWhenUsed/>
    <w:rsid w:val="00F7775F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F1E21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AF0A04"/>
    <w:rPr>
      <w:rFonts w:ascii="Calibri" w:eastAsia="Calibri" w:hAnsi="Calibri"/>
      <w:lang w:val="es-ES"/>
    </w:rPr>
  </w:style>
  <w:style w:type="paragraph" w:styleId="Textonotapie">
    <w:name w:val="footnote text"/>
    <w:basedOn w:val="Normal"/>
    <w:link w:val="TextonotapieCar"/>
    <w:uiPriority w:val="99"/>
    <w:unhideWhenUsed/>
    <w:rsid w:val="00AF0A04"/>
    <w:rPr>
      <w:rFonts w:asciiTheme="minorHAnsi" w:eastAsiaTheme="minorHAnsi" w:hAnsiTheme="minorHAnsi" w:cstheme="minorBidi"/>
      <w:lang w:val="es-ES_tradnl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F0A04"/>
    <w:rPr>
      <w:rFonts w:asciiTheme="minorHAnsi" w:eastAsiaTheme="minorHAnsi" w:hAnsiTheme="minorHAnsi" w:cstheme="minorBidi"/>
      <w:sz w:val="24"/>
      <w:szCs w:val="24"/>
      <w:lang w:val="es-ES_tradnl"/>
    </w:rPr>
  </w:style>
  <w:style w:type="paragraph" w:customStyle="1" w:styleId="Default">
    <w:name w:val="Default"/>
    <w:rsid w:val="00AF0A04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  <w:lang w:val="es-MX"/>
    </w:rPr>
  </w:style>
  <w:style w:type="character" w:styleId="Refdenotaalpie">
    <w:name w:val="footnote reference"/>
    <w:aliases w:val="Texto de nota al pie,referencia nota al pie"/>
    <w:basedOn w:val="Fuentedeprrafopredeter"/>
    <w:uiPriority w:val="99"/>
    <w:unhideWhenUsed/>
    <w:rsid w:val="00AF0A04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F0A04"/>
    <w:pPr>
      <w:spacing w:line="240" w:lineRule="auto"/>
    </w:pPr>
    <w:rPr>
      <w:rFonts w:asciiTheme="minorHAnsi" w:eastAsiaTheme="minorHAnsi" w:hAnsiTheme="minorHAnsi" w:cstheme="minorBidi"/>
      <w:b/>
      <w:bCs/>
      <w:lang w:val="es-ES_tradnl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F0A04"/>
    <w:rPr>
      <w:rFonts w:asciiTheme="minorHAnsi" w:eastAsiaTheme="minorHAnsi" w:hAnsiTheme="minorHAnsi" w:cstheme="minorBidi"/>
      <w:b/>
      <w:bCs/>
      <w:sz w:val="20"/>
      <w:szCs w:val="20"/>
      <w:lang w:val="es-ES_tradnl"/>
    </w:rPr>
  </w:style>
  <w:style w:type="paragraph" w:styleId="Revisin">
    <w:name w:val="Revision"/>
    <w:hidden/>
    <w:uiPriority w:val="99"/>
    <w:semiHidden/>
    <w:rsid w:val="00DA3708"/>
    <w:rPr>
      <w:sz w:val="24"/>
      <w:szCs w:val="24"/>
      <w:lang w:val="es-MX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3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AE031-2982-446E-8CDE-1F0485F0E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2</Pages>
  <Words>596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Glosario Legislativo</vt:lpstr>
    </vt:vector>
  </TitlesOfParts>
  <Company>Hewlett-Packard</Company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Glosario Legislativo</dc:title>
  <dc:creator>Diego Ernesto</dc:creator>
  <cp:lastModifiedBy>javier</cp:lastModifiedBy>
  <cp:revision>10</cp:revision>
  <cp:lastPrinted>2012-11-14T14:56:00Z</cp:lastPrinted>
  <dcterms:created xsi:type="dcterms:W3CDTF">2016-08-10T22:03:00Z</dcterms:created>
  <dcterms:modified xsi:type="dcterms:W3CDTF">2016-08-12T17:42:00Z</dcterms:modified>
</cp:coreProperties>
</file>